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9DE" w:rsidRPr="00A41AFC" w:rsidRDefault="00A849DE" w:rsidP="00A849DE">
      <w:pPr>
        <w:jc w:val="center"/>
        <w:rPr>
          <w:rFonts w:cs="Arial"/>
          <w:b/>
          <w:color w:val="000000"/>
          <w:lang w:val="pl-PL"/>
        </w:rPr>
      </w:pPr>
      <w:r w:rsidRPr="00A41AFC">
        <w:rPr>
          <w:rFonts w:cs="Arial"/>
          <w:b/>
          <w:color w:val="000000"/>
          <w:lang w:val="pl-PL"/>
        </w:rPr>
        <w:t xml:space="preserve">Zakres rzeczowy do wyceny </w:t>
      </w:r>
    </w:p>
    <w:p w:rsidR="00A849DE" w:rsidRPr="00F62E84" w:rsidRDefault="00A849DE" w:rsidP="00A849DE">
      <w:pPr>
        <w:spacing w:after="0" w:line="360" w:lineRule="auto"/>
        <w:rPr>
          <w:rFonts w:cs="Arial"/>
          <w:color w:val="000000"/>
        </w:rPr>
      </w:pPr>
      <w:proofErr w:type="spellStart"/>
      <w:r>
        <w:rPr>
          <w:rFonts w:cs="Arial"/>
          <w:bCs/>
          <w:color w:val="000000"/>
        </w:rPr>
        <w:t>Szczegółowy</w:t>
      </w:r>
      <w:proofErr w:type="spellEnd"/>
      <w:r>
        <w:rPr>
          <w:rFonts w:cs="Arial"/>
          <w:bCs/>
          <w:color w:val="000000"/>
        </w:rPr>
        <w:t xml:space="preserve"> </w:t>
      </w:r>
      <w:proofErr w:type="spellStart"/>
      <w:r>
        <w:rPr>
          <w:rFonts w:cs="Arial"/>
          <w:bCs/>
          <w:color w:val="000000"/>
        </w:rPr>
        <w:t>zakres</w:t>
      </w:r>
      <w:proofErr w:type="spellEnd"/>
      <w:r>
        <w:rPr>
          <w:rFonts w:cs="Arial"/>
          <w:bCs/>
          <w:color w:val="000000"/>
        </w:rPr>
        <w:t xml:space="preserve"> </w:t>
      </w:r>
      <w:proofErr w:type="spellStart"/>
      <w:r w:rsidRPr="00F62E84">
        <w:rPr>
          <w:rFonts w:cs="Arial"/>
          <w:bCs/>
          <w:color w:val="000000"/>
        </w:rPr>
        <w:t>obejmuje</w:t>
      </w:r>
      <w:proofErr w:type="spellEnd"/>
      <w:r w:rsidRPr="00F62E84">
        <w:rPr>
          <w:rFonts w:cs="Arial"/>
          <w:bCs/>
          <w:color w:val="000000"/>
        </w:rPr>
        <w:t>:</w:t>
      </w:r>
    </w:p>
    <w:p w:rsidR="00A849DE" w:rsidRPr="00182445" w:rsidRDefault="00A849DE" w:rsidP="00A849DE">
      <w:pPr>
        <w:numPr>
          <w:ilvl w:val="0"/>
          <w:numId w:val="1"/>
        </w:numPr>
        <w:spacing w:after="0" w:line="360" w:lineRule="auto"/>
        <w:rPr>
          <w:rFonts w:eastAsia="Times New Roman" w:cs="Arial"/>
          <w:lang w:eastAsia="pl-PL"/>
        </w:rPr>
      </w:pPr>
      <w:r w:rsidRPr="00182445">
        <w:rPr>
          <w:rFonts w:eastAsia="Times New Roman" w:cs="Arial"/>
          <w:lang w:val="pl-PL" w:eastAsia="pl-PL"/>
        </w:rPr>
        <w:t>Dostawa</w:t>
      </w:r>
      <w:r w:rsidRPr="00182445">
        <w:rPr>
          <w:rFonts w:cs="Arial"/>
          <w:bCs/>
          <w:color w:val="000000"/>
        </w:rPr>
        <w:t xml:space="preserve"> </w:t>
      </w:r>
      <w:r w:rsidRPr="00182445">
        <w:rPr>
          <w:rFonts w:eastAsia="Times New Roman" w:cs="Arial"/>
          <w:lang w:val="pl-PL" w:eastAsia="pl-PL"/>
        </w:rPr>
        <w:t>ko</w:t>
      </w:r>
      <w:r>
        <w:rPr>
          <w:rFonts w:eastAsia="Times New Roman" w:cs="Arial"/>
          <w:lang w:val="pl-PL" w:eastAsia="pl-PL"/>
        </w:rPr>
        <w:t xml:space="preserve">lektora </w:t>
      </w:r>
      <w:r w:rsidRPr="00182445">
        <w:rPr>
          <w:rFonts w:eastAsia="Times New Roman" w:cs="Calibri"/>
          <w:lang w:val="pl-PL" w:eastAsia="pl-PL"/>
        </w:rPr>
        <w:t>Ø</w:t>
      </w:r>
      <w:r w:rsidRPr="00182445">
        <w:rPr>
          <w:rFonts w:eastAsia="Times New Roman" w:cs="Arial"/>
          <w:lang w:val="pl-PL" w:eastAsia="pl-PL"/>
        </w:rPr>
        <w:t>465x20 przegrzewacza III</w:t>
      </w:r>
      <w:r w:rsidRPr="00182445">
        <w:rPr>
          <w:rFonts w:eastAsia="Times New Roman" w:cs="Arial"/>
          <w:vertAlign w:val="superscript"/>
          <w:lang w:val="pl-PL" w:eastAsia="pl-PL"/>
        </w:rPr>
        <w:t>O</w:t>
      </w:r>
      <w:r w:rsidRPr="00182445">
        <w:rPr>
          <w:rFonts w:eastAsia="Times New Roman" w:cs="Arial"/>
          <w:lang w:val="pl-PL" w:eastAsia="pl-PL"/>
        </w:rPr>
        <w:t xml:space="preserve"> pary wtórne</w:t>
      </w:r>
      <w:r>
        <w:rPr>
          <w:rFonts w:eastAsia="Times New Roman" w:cs="Arial"/>
          <w:lang w:val="pl-PL" w:eastAsia="pl-PL"/>
        </w:rPr>
        <w:t>j</w:t>
      </w:r>
      <w:r w:rsidRPr="00182445">
        <w:rPr>
          <w:rFonts w:cs="Arial"/>
          <w:bCs/>
          <w:color w:val="000000"/>
        </w:rPr>
        <w:t>:</w:t>
      </w:r>
    </w:p>
    <w:p w:rsidR="00A849DE" w:rsidRDefault="00A849DE" w:rsidP="00A849DE">
      <w:pPr>
        <w:tabs>
          <w:tab w:val="left" w:pos="5018"/>
        </w:tabs>
        <w:spacing w:after="0" w:line="240" w:lineRule="auto"/>
        <w:jc w:val="both"/>
        <w:rPr>
          <w:rFonts w:cs="Tahoma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652"/>
        <w:gridCol w:w="6387"/>
        <w:gridCol w:w="1425"/>
      </w:tblGrid>
      <w:tr w:rsidR="00A849DE" w:rsidRPr="000A73EE" w:rsidTr="00A849DE">
        <w:trPr>
          <w:trHeight w:val="340"/>
        </w:trPr>
        <w:tc>
          <w:tcPr>
            <w:tcW w:w="598" w:type="dxa"/>
            <w:shd w:val="clear" w:color="auto" w:fill="auto"/>
            <w:vAlign w:val="center"/>
          </w:tcPr>
          <w:p w:rsidR="00A849DE" w:rsidRPr="000A73EE" w:rsidRDefault="00A849DE" w:rsidP="00610642">
            <w:pPr>
              <w:tabs>
                <w:tab w:val="left" w:pos="5018"/>
              </w:tabs>
              <w:spacing w:after="0" w:line="240" w:lineRule="auto"/>
              <w:jc w:val="center"/>
              <w:rPr>
                <w:rFonts w:cs="Tahoma"/>
                <w:b/>
                <w:lang w:val="pl-PL"/>
              </w:rPr>
            </w:pPr>
            <w:r w:rsidRPr="000A73EE">
              <w:rPr>
                <w:rFonts w:cs="Tahoma"/>
                <w:b/>
                <w:lang w:val="pl-PL"/>
              </w:rPr>
              <w:t>Poz.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A849DE" w:rsidRPr="000A73EE" w:rsidRDefault="00A849DE" w:rsidP="00610642">
            <w:pPr>
              <w:tabs>
                <w:tab w:val="left" w:pos="5018"/>
              </w:tabs>
              <w:spacing w:after="0" w:line="240" w:lineRule="auto"/>
              <w:jc w:val="center"/>
              <w:rPr>
                <w:rFonts w:cs="Tahoma"/>
                <w:b/>
                <w:lang w:val="pl-PL"/>
              </w:rPr>
            </w:pPr>
            <w:r w:rsidRPr="000A73EE">
              <w:rPr>
                <w:rFonts w:cs="Tahoma"/>
                <w:b/>
                <w:lang w:val="pl-PL"/>
              </w:rPr>
              <w:t>Ilość</w:t>
            </w:r>
          </w:p>
        </w:tc>
        <w:tc>
          <w:tcPr>
            <w:tcW w:w="6387" w:type="dxa"/>
            <w:shd w:val="clear" w:color="auto" w:fill="auto"/>
            <w:vAlign w:val="center"/>
          </w:tcPr>
          <w:p w:rsidR="00A849DE" w:rsidRPr="000A73EE" w:rsidRDefault="00A849DE" w:rsidP="00610642">
            <w:pPr>
              <w:tabs>
                <w:tab w:val="left" w:pos="5018"/>
              </w:tabs>
              <w:spacing w:after="0" w:line="240" w:lineRule="auto"/>
              <w:jc w:val="center"/>
              <w:rPr>
                <w:rFonts w:cs="Tahoma"/>
                <w:b/>
                <w:lang w:val="pl-PL"/>
              </w:rPr>
            </w:pPr>
            <w:r w:rsidRPr="000A73EE">
              <w:rPr>
                <w:rFonts w:cs="Tahoma"/>
                <w:b/>
                <w:lang w:val="pl-PL"/>
              </w:rPr>
              <w:t>Nazwa towaru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849DE" w:rsidRPr="000A73EE" w:rsidRDefault="00A849DE" w:rsidP="00610642">
            <w:pPr>
              <w:tabs>
                <w:tab w:val="left" w:pos="5018"/>
              </w:tabs>
              <w:spacing w:after="0" w:line="240" w:lineRule="auto"/>
              <w:jc w:val="center"/>
              <w:rPr>
                <w:rFonts w:cs="Tahoma"/>
                <w:b/>
                <w:lang w:val="pl-PL"/>
              </w:rPr>
            </w:pPr>
            <w:r w:rsidRPr="000A73EE">
              <w:rPr>
                <w:rFonts w:cs="Tahoma"/>
                <w:b/>
                <w:lang w:val="pl-PL"/>
              </w:rPr>
              <w:t>Cena - zł</w:t>
            </w:r>
          </w:p>
        </w:tc>
      </w:tr>
      <w:tr w:rsidR="00A849DE" w:rsidRPr="000A73EE" w:rsidTr="00A849DE">
        <w:trPr>
          <w:trHeight w:val="981"/>
        </w:trPr>
        <w:tc>
          <w:tcPr>
            <w:tcW w:w="9062" w:type="dxa"/>
            <w:gridSpan w:val="4"/>
            <w:shd w:val="clear" w:color="auto" w:fill="auto"/>
            <w:vAlign w:val="center"/>
          </w:tcPr>
          <w:p w:rsidR="00A849DE" w:rsidRPr="00182445" w:rsidRDefault="00A849DE" w:rsidP="00610642">
            <w:pPr>
              <w:tabs>
                <w:tab w:val="left" w:pos="5018"/>
              </w:tabs>
              <w:spacing w:after="0" w:line="240" w:lineRule="auto"/>
              <w:jc w:val="center"/>
              <w:rPr>
                <w:rFonts w:cs="Tahoma"/>
                <w:b/>
                <w:lang w:val="pl-PL"/>
              </w:rPr>
            </w:pPr>
            <w:r w:rsidRPr="00182445">
              <w:rPr>
                <w:rFonts w:cs="Tahoma"/>
                <w:b/>
                <w:lang w:val="pl-PL"/>
              </w:rPr>
              <w:t xml:space="preserve">Kolektor </w:t>
            </w:r>
            <w:r w:rsidRPr="00182445">
              <w:rPr>
                <w:rFonts w:eastAsia="Times New Roman" w:cs="Calibri"/>
                <w:b/>
                <w:lang w:val="pl-PL" w:eastAsia="pl-PL"/>
              </w:rPr>
              <w:t>Ø</w:t>
            </w:r>
            <w:r w:rsidRPr="00182445">
              <w:rPr>
                <w:rFonts w:eastAsia="Times New Roman" w:cs="Arial"/>
                <w:b/>
                <w:lang w:val="pl-PL" w:eastAsia="pl-PL"/>
              </w:rPr>
              <w:t>465x20 przegrzewacza III</w:t>
            </w:r>
            <w:r w:rsidRPr="00182445">
              <w:rPr>
                <w:rFonts w:eastAsia="Times New Roman" w:cs="Arial"/>
                <w:b/>
                <w:vertAlign w:val="superscript"/>
                <w:lang w:val="pl-PL" w:eastAsia="pl-PL"/>
              </w:rPr>
              <w:t>O</w:t>
            </w:r>
            <w:r w:rsidRPr="00182445">
              <w:rPr>
                <w:rFonts w:eastAsia="Times New Roman" w:cs="Arial"/>
                <w:b/>
                <w:lang w:val="pl-PL" w:eastAsia="pl-PL"/>
              </w:rPr>
              <w:t xml:space="preserve"> pary wtórnej</w:t>
            </w:r>
            <w:r>
              <w:rPr>
                <w:rFonts w:eastAsia="Times New Roman" w:cs="Arial"/>
                <w:b/>
                <w:lang w:val="pl-PL" w:eastAsia="pl-PL"/>
              </w:rPr>
              <w:t xml:space="preserve"> wg. dokumentacji EP650-210-01-A1 (EP650-210-13, EP650-210-14, EP650-210-15, EP650-210-16, EP650-210-17 )</w:t>
            </w:r>
          </w:p>
        </w:tc>
      </w:tr>
      <w:tr w:rsidR="00A849DE" w:rsidRPr="000A73EE" w:rsidTr="00A849DE">
        <w:trPr>
          <w:trHeight w:val="340"/>
        </w:trPr>
        <w:tc>
          <w:tcPr>
            <w:tcW w:w="598" w:type="dxa"/>
            <w:shd w:val="clear" w:color="auto" w:fill="auto"/>
            <w:vAlign w:val="center"/>
          </w:tcPr>
          <w:p w:rsidR="00A849DE" w:rsidRPr="000A73EE" w:rsidRDefault="00A849DE" w:rsidP="00610642">
            <w:pPr>
              <w:tabs>
                <w:tab w:val="left" w:pos="5018"/>
              </w:tabs>
              <w:spacing w:after="0" w:line="240" w:lineRule="auto"/>
              <w:jc w:val="center"/>
              <w:rPr>
                <w:rFonts w:cs="Tahoma"/>
                <w:lang w:val="pl-PL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A849DE" w:rsidRPr="000A73EE" w:rsidRDefault="00A849DE" w:rsidP="00610642">
            <w:pPr>
              <w:tabs>
                <w:tab w:val="left" w:pos="5018"/>
              </w:tabs>
              <w:spacing w:after="0" w:line="240" w:lineRule="auto"/>
              <w:jc w:val="center"/>
              <w:rPr>
                <w:rFonts w:cs="Tahoma"/>
                <w:lang w:val="pl-PL"/>
              </w:rPr>
            </w:pPr>
          </w:p>
        </w:tc>
        <w:tc>
          <w:tcPr>
            <w:tcW w:w="6387" w:type="dxa"/>
            <w:shd w:val="clear" w:color="auto" w:fill="auto"/>
            <w:vAlign w:val="center"/>
          </w:tcPr>
          <w:p w:rsidR="00A849DE" w:rsidRPr="000A73EE" w:rsidRDefault="00A849DE" w:rsidP="00610642">
            <w:pPr>
              <w:tabs>
                <w:tab w:val="left" w:pos="5018"/>
              </w:tabs>
              <w:spacing w:after="0" w:line="240" w:lineRule="auto"/>
              <w:jc w:val="center"/>
              <w:rPr>
                <w:rFonts w:cs="Tahoma"/>
                <w:lang w:val="pl-PL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849DE" w:rsidRPr="000A73EE" w:rsidRDefault="00A849DE" w:rsidP="00610642">
            <w:pPr>
              <w:tabs>
                <w:tab w:val="left" w:pos="5018"/>
              </w:tabs>
              <w:spacing w:after="0" w:line="240" w:lineRule="auto"/>
              <w:jc w:val="center"/>
              <w:rPr>
                <w:rFonts w:cs="Tahoma"/>
                <w:lang w:val="pl-PL"/>
              </w:rPr>
            </w:pPr>
          </w:p>
        </w:tc>
      </w:tr>
    </w:tbl>
    <w:p w:rsidR="00A849DE" w:rsidRDefault="00A849DE" w:rsidP="00A849DE">
      <w:pPr>
        <w:tabs>
          <w:tab w:val="left" w:pos="5018"/>
        </w:tabs>
        <w:spacing w:after="0" w:line="240" w:lineRule="auto"/>
        <w:jc w:val="both"/>
        <w:rPr>
          <w:rFonts w:cs="Tahoma"/>
          <w:lang w:val="pl-PL"/>
        </w:rPr>
      </w:pPr>
    </w:p>
    <w:p w:rsidR="00A849DE" w:rsidRDefault="00A849DE" w:rsidP="00A849DE">
      <w:pPr>
        <w:tabs>
          <w:tab w:val="left" w:pos="5018"/>
        </w:tabs>
        <w:spacing w:after="0" w:line="240" w:lineRule="auto"/>
        <w:jc w:val="both"/>
        <w:rPr>
          <w:rFonts w:cs="Tahoma"/>
          <w:lang w:val="pl-PL"/>
        </w:rPr>
      </w:pPr>
    </w:p>
    <w:p w:rsidR="00A849DE" w:rsidRPr="0049490A" w:rsidRDefault="00A849DE" w:rsidP="00A849DE">
      <w:pPr>
        <w:tabs>
          <w:tab w:val="left" w:pos="5018"/>
        </w:tabs>
        <w:spacing w:after="0" w:line="240" w:lineRule="auto"/>
        <w:jc w:val="both"/>
        <w:rPr>
          <w:rFonts w:cs="Tahoma"/>
          <w:lang w:val="pl-PL"/>
        </w:rPr>
      </w:pPr>
    </w:p>
    <w:p w:rsidR="00A849DE" w:rsidRDefault="00A849DE" w:rsidP="00A849DE">
      <w:pPr>
        <w:spacing w:after="0" w:line="240" w:lineRule="auto"/>
        <w:rPr>
          <w:rFonts w:cs="Arial"/>
          <w:b/>
          <w:lang w:val="pl-PL"/>
        </w:rPr>
      </w:pPr>
      <w:r>
        <w:rPr>
          <w:rFonts w:cs="Arial"/>
          <w:b/>
          <w:lang w:val="pl-PL"/>
        </w:rPr>
        <w:t>Dane techniczne/ parametry pracy:</w:t>
      </w:r>
      <w:bookmarkStart w:id="0" w:name="_GoBack"/>
      <w:bookmarkEnd w:id="0"/>
    </w:p>
    <w:p w:rsidR="00A849DE" w:rsidRDefault="00A849DE" w:rsidP="00A849DE">
      <w:pPr>
        <w:spacing w:after="0" w:line="240" w:lineRule="auto"/>
        <w:rPr>
          <w:rFonts w:cs="Arial"/>
          <w:b/>
          <w:lang w:val="pl-PL"/>
        </w:rPr>
      </w:pPr>
    </w:p>
    <w:p w:rsidR="00A849DE" w:rsidRDefault="00A849DE" w:rsidP="00A849DE">
      <w:pPr>
        <w:spacing w:after="0" w:line="240" w:lineRule="auto"/>
        <w:rPr>
          <w:rFonts w:cs="Arial"/>
          <w:lang w:val="pl-PL"/>
        </w:rPr>
      </w:pPr>
      <w:r>
        <w:rPr>
          <w:rFonts w:cs="Arial"/>
          <w:lang w:val="pl-PL"/>
        </w:rPr>
        <w:t>- Ciśnienie obliczeniowe 35 bar,</w:t>
      </w:r>
    </w:p>
    <w:p w:rsidR="00A849DE" w:rsidRDefault="00A849DE" w:rsidP="00A849DE">
      <w:pPr>
        <w:spacing w:after="0" w:line="240" w:lineRule="auto"/>
        <w:rPr>
          <w:rFonts w:cs="Arial"/>
          <w:lang w:val="pl-PL"/>
        </w:rPr>
      </w:pPr>
      <w:r>
        <w:rPr>
          <w:rFonts w:cs="Arial"/>
          <w:lang w:val="pl-PL"/>
        </w:rPr>
        <w:t xml:space="preserve">- temperatura obliczeniowa +540 + </w:t>
      </w:r>
      <w:proofErr w:type="spellStart"/>
      <w:r>
        <w:rPr>
          <w:rFonts w:cs="Arial"/>
          <w:lang w:val="pl-PL"/>
        </w:rPr>
        <w:t>nadd.</w:t>
      </w:r>
      <w:r w:rsidRPr="00A8606A">
        <w:rPr>
          <w:rFonts w:cs="Arial"/>
          <w:vertAlign w:val="superscript"/>
          <w:lang w:val="pl-PL"/>
        </w:rPr>
        <w:t>O</w:t>
      </w:r>
      <w:r>
        <w:rPr>
          <w:rFonts w:cs="Arial"/>
          <w:lang w:val="pl-PL"/>
        </w:rPr>
        <w:t>C</w:t>
      </w:r>
      <w:proofErr w:type="spellEnd"/>
      <w:r>
        <w:rPr>
          <w:rFonts w:cs="Arial"/>
          <w:lang w:val="pl-PL"/>
        </w:rPr>
        <w:t>,</w:t>
      </w:r>
    </w:p>
    <w:p w:rsidR="00A849DE" w:rsidRDefault="00A849DE" w:rsidP="00A849DE">
      <w:pPr>
        <w:spacing w:after="0" w:line="240" w:lineRule="auto"/>
        <w:rPr>
          <w:rFonts w:cs="Arial"/>
          <w:lang w:val="pl-PL"/>
        </w:rPr>
      </w:pPr>
      <w:r>
        <w:rPr>
          <w:rFonts w:cs="Arial"/>
          <w:lang w:val="pl-PL"/>
        </w:rPr>
        <w:t>- medium: para przegrzana,</w:t>
      </w:r>
    </w:p>
    <w:p w:rsidR="00A849DE" w:rsidRDefault="00A849DE" w:rsidP="00A849DE">
      <w:pPr>
        <w:spacing w:after="0" w:line="240" w:lineRule="auto"/>
        <w:rPr>
          <w:rFonts w:cs="Arial"/>
          <w:lang w:val="pl-PL"/>
        </w:rPr>
      </w:pPr>
      <w:r>
        <w:rPr>
          <w:rFonts w:cs="Arial"/>
          <w:lang w:val="pl-PL"/>
        </w:rPr>
        <w:t>- materiał: 14MoV6-3 (oczekiwane wykonanie ww. elementów)</w:t>
      </w:r>
    </w:p>
    <w:p w:rsidR="00A849DE" w:rsidRDefault="00A849DE" w:rsidP="00A849DE">
      <w:pPr>
        <w:spacing w:after="0" w:line="240" w:lineRule="auto"/>
        <w:rPr>
          <w:rFonts w:cs="Arial"/>
          <w:lang w:val="pl-PL"/>
        </w:rPr>
      </w:pPr>
    </w:p>
    <w:p w:rsidR="00A849DE" w:rsidRDefault="00A849DE" w:rsidP="00A849DE">
      <w:pPr>
        <w:spacing w:after="0" w:line="240" w:lineRule="auto"/>
        <w:jc w:val="both"/>
        <w:rPr>
          <w:rFonts w:cs="Arial"/>
          <w:lang w:val="pl-PL"/>
        </w:rPr>
      </w:pPr>
      <w:r>
        <w:rPr>
          <w:rFonts w:cs="Arial"/>
          <w:lang w:val="pl-PL"/>
        </w:rPr>
        <w:t>Zamawiający do wykonania ww. elementów dopuszcza zastosowanie materiałów równoważnych lub o wyższych parametrach wytrzymałościowych.</w:t>
      </w:r>
    </w:p>
    <w:p w:rsidR="00A849DE" w:rsidRDefault="00A849DE" w:rsidP="00A849DE">
      <w:pPr>
        <w:spacing w:after="0" w:line="240" w:lineRule="auto"/>
        <w:jc w:val="both"/>
        <w:rPr>
          <w:rFonts w:cs="Arial"/>
          <w:lang w:val="pl-PL"/>
        </w:rPr>
      </w:pPr>
      <w:r>
        <w:rPr>
          <w:rFonts w:cs="Arial"/>
          <w:lang w:val="pl-PL"/>
        </w:rPr>
        <w:t>Zamawiający dopuszcza zmianę grubości ścianek komór w stosunku do wymiarów rysunkowych po dokonaniu obliczeń celem potwierdzenia wymiarów i grubości komór ze względu na właściwości wytrzymałościowe w oparciu o parametry obliczeniowe dla ww. elementów. Pozostałe wymiary rysunkowe muszą być zgodne z rysunkami i wymaganiami Zamawiającego (naddatki montażowe).</w:t>
      </w:r>
    </w:p>
    <w:p w:rsidR="00A849DE" w:rsidRDefault="00A849DE" w:rsidP="00A849DE">
      <w:pPr>
        <w:spacing w:after="0" w:line="240" w:lineRule="auto"/>
        <w:jc w:val="both"/>
        <w:rPr>
          <w:rFonts w:cs="Arial"/>
          <w:lang w:val="pl-PL"/>
        </w:rPr>
      </w:pPr>
    </w:p>
    <w:p w:rsidR="00A849DE" w:rsidRPr="001414F7" w:rsidRDefault="00A849DE" w:rsidP="00A849DE">
      <w:pPr>
        <w:spacing w:after="0" w:line="240" w:lineRule="auto"/>
        <w:jc w:val="both"/>
        <w:rPr>
          <w:rFonts w:cs="Arial"/>
          <w:u w:val="single"/>
          <w:lang w:val="pl-PL"/>
        </w:rPr>
      </w:pPr>
      <w:r w:rsidRPr="001414F7">
        <w:rPr>
          <w:rFonts w:cs="Arial"/>
          <w:u w:val="single"/>
          <w:lang w:val="pl-PL"/>
        </w:rPr>
        <w:t>Wymagania Zamawiającego:</w:t>
      </w:r>
    </w:p>
    <w:p w:rsidR="00A849DE" w:rsidRDefault="00A849DE" w:rsidP="00A849DE">
      <w:pPr>
        <w:spacing w:after="0" w:line="240" w:lineRule="auto"/>
        <w:jc w:val="both"/>
        <w:rPr>
          <w:rFonts w:cs="Arial"/>
          <w:lang w:val="pl-PL"/>
        </w:rPr>
      </w:pPr>
      <w:r>
        <w:rPr>
          <w:rFonts w:cs="Arial"/>
          <w:lang w:val="pl-PL"/>
        </w:rPr>
        <w:t>1.  Sporządzenie i przekazanie Zamawiającemu dokumentacji wykonawczej oraz koncesyjnej w tym obliczeń wytrzymałościowych w 3 egzemplarzach i zatwierdzonej przez UDT oraz wersji elektronicznej.</w:t>
      </w:r>
    </w:p>
    <w:p w:rsidR="00A849DE" w:rsidRDefault="00A849DE" w:rsidP="00A849DE">
      <w:pPr>
        <w:spacing w:after="0" w:line="240" w:lineRule="auto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Dostawca dostarczy dokumenty potwierdzające jakość połączeń spawanych i gięcia elementów będących w zakresie dostawy, atesty materiałowe (wymagany atest na rury – 31. Wg. EN 10204) oraz inne wymagane dokumenty w oparciu o obowiązujące przepisy UDT.</w:t>
      </w:r>
    </w:p>
    <w:p w:rsidR="00A849DE" w:rsidRDefault="00A849DE" w:rsidP="00A849DE">
      <w:pPr>
        <w:tabs>
          <w:tab w:val="right" w:pos="9214"/>
        </w:tabs>
        <w:spacing w:after="0" w:line="240" w:lineRule="auto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Użyte materiały do wykonania elementów zamówienia powinny być wyprodukowane po 2020 roku.</w:t>
      </w:r>
      <w:r>
        <w:rPr>
          <w:rFonts w:cs="Arial"/>
          <w:lang w:val="pl-PL"/>
        </w:rPr>
        <w:tab/>
      </w:r>
    </w:p>
    <w:p w:rsidR="00A849DE" w:rsidRDefault="00A849DE" w:rsidP="00A849DE">
      <w:pPr>
        <w:tabs>
          <w:tab w:val="right" w:pos="9214"/>
        </w:tabs>
        <w:spacing w:after="0" w:line="240" w:lineRule="auto"/>
        <w:jc w:val="both"/>
        <w:rPr>
          <w:rFonts w:cs="Arial"/>
          <w:lang w:val="pl-PL"/>
        </w:rPr>
      </w:pPr>
      <w:r>
        <w:rPr>
          <w:rFonts w:cs="Arial"/>
          <w:lang w:val="pl-PL"/>
        </w:rPr>
        <w:t>4. Pozyskanie, zebranie i weryfikacja wszystkich danych niezbędnych do wykonania i dostawy elementów należy do Wykonawcy</w:t>
      </w:r>
    </w:p>
    <w:p w:rsidR="00A849DE" w:rsidRDefault="00A849DE" w:rsidP="00A849DE">
      <w:pPr>
        <w:spacing w:after="0" w:line="240" w:lineRule="auto"/>
        <w:rPr>
          <w:rFonts w:cs="Arial"/>
          <w:lang w:val="pl-PL"/>
        </w:rPr>
      </w:pPr>
    </w:p>
    <w:p w:rsidR="00A849DE" w:rsidRDefault="00A849DE" w:rsidP="00A849DE">
      <w:pPr>
        <w:spacing w:after="0" w:line="240" w:lineRule="auto"/>
        <w:rPr>
          <w:rFonts w:cs="Arial"/>
          <w:lang w:val="pl-PL"/>
        </w:rPr>
      </w:pPr>
      <w:r>
        <w:rPr>
          <w:rFonts w:cs="Arial"/>
          <w:lang w:val="pl-PL"/>
        </w:rPr>
        <w:t>Oczekiwany termin wykonania i dostawy: 30 dni od podpisania zamówienia</w:t>
      </w:r>
    </w:p>
    <w:p w:rsidR="00A849DE" w:rsidRDefault="00A849DE" w:rsidP="00A849DE">
      <w:pPr>
        <w:spacing w:after="0" w:line="240" w:lineRule="auto"/>
        <w:rPr>
          <w:rFonts w:cs="Arial"/>
          <w:lang w:val="pl-PL"/>
        </w:rPr>
      </w:pPr>
      <w:r>
        <w:rPr>
          <w:rFonts w:cs="Arial"/>
          <w:lang w:val="pl-PL"/>
        </w:rPr>
        <w:t xml:space="preserve">Okres gwarancji: 24 miesiące </w:t>
      </w:r>
    </w:p>
    <w:p w:rsidR="00A849DE" w:rsidRDefault="00A849DE" w:rsidP="00A849DE">
      <w:pPr>
        <w:spacing w:after="0" w:line="240" w:lineRule="auto"/>
        <w:rPr>
          <w:rFonts w:cs="Arial"/>
          <w:lang w:val="pl-PL"/>
        </w:rPr>
      </w:pPr>
    </w:p>
    <w:p w:rsidR="00A849DE" w:rsidRDefault="00A849DE" w:rsidP="00A849DE">
      <w:pPr>
        <w:spacing w:after="0" w:line="240" w:lineRule="auto"/>
        <w:rPr>
          <w:rFonts w:cs="Arial"/>
          <w:lang w:val="pl-PL"/>
        </w:rPr>
      </w:pPr>
      <w:r>
        <w:rPr>
          <w:rFonts w:cs="Arial"/>
          <w:lang w:val="pl-PL"/>
        </w:rPr>
        <w:t>Załączona do zapytania dokumentacja elementów kolektora – stanowi dokumentację poglądową (Wykonanie dokumentacji wykonawczej i koncesyjnej i uzgodnienie jej z UDT należy do Wykonawcy)</w:t>
      </w:r>
    </w:p>
    <w:p w:rsidR="00A849DE" w:rsidRDefault="00A849DE" w:rsidP="00A849DE">
      <w:pPr>
        <w:spacing w:after="0" w:line="240" w:lineRule="auto"/>
        <w:rPr>
          <w:rFonts w:cs="Arial"/>
          <w:lang w:val="pl-PL"/>
        </w:rPr>
      </w:pPr>
    </w:p>
    <w:p w:rsidR="00A849DE" w:rsidRPr="001C2DEB" w:rsidRDefault="00A849DE" w:rsidP="00A849DE">
      <w:pPr>
        <w:spacing w:after="0" w:line="304" w:lineRule="exact"/>
        <w:jc w:val="both"/>
        <w:rPr>
          <w:rFonts w:ascii="Arial" w:hAnsi="Arial" w:cs="Arial"/>
          <w:lang w:val="pl-PL"/>
        </w:rPr>
      </w:pPr>
    </w:p>
    <w:p w:rsidR="0098744D" w:rsidRDefault="0098744D"/>
    <w:sectPr w:rsidR="00987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E6BE1"/>
    <w:multiLevelType w:val="multilevel"/>
    <w:tmpl w:val="7B68ADE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9DE"/>
    <w:rsid w:val="0098744D"/>
    <w:rsid w:val="00A8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CD1E1-42E7-464D-A9D3-2D90B62E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49DE"/>
    <w:rPr>
      <w:rFonts w:ascii="Calibri" w:eastAsia="Calibri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Smaluch Mateusz</dc:creator>
  <cp:keywords/>
  <dc:description/>
  <cp:lastModifiedBy>Smaluch Mateusz</cp:lastModifiedBy>
  <cp:revision>1</cp:revision>
  <dcterms:created xsi:type="dcterms:W3CDTF">2021-07-28T08:06:00Z</dcterms:created>
  <dcterms:modified xsi:type="dcterms:W3CDTF">2021-07-28T08:07:00Z</dcterms:modified>
</cp:coreProperties>
</file>